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E88B" w14:textId="39D43AA2" w:rsidR="00F30BD9" w:rsidRPr="0018280F" w:rsidRDefault="00F30BD9" w:rsidP="00F30BD9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5" w:themeShade="BF"/>
          <w:kern w:val="36"/>
          <w:sz w:val="45"/>
          <w:szCs w:val="45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b/>
          <w:bCs/>
          <w:caps/>
          <w:color w:val="2E74B5" w:themeColor="accent5" w:themeShade="BF"/>
          <w:kern w:val="36"/>
          <w:sz w:val="45"/>
          <w:szCs w:val="45"/>
          <w:bdr w:val="none" w:sz="0" w:space="0" w:color="auto" w:frame="1"/>
          <w:lang w:val="ru-RU" w:eastAsia="en-GB"/>
          <w14:ligatures w14:val="none"/>
        </w:rPr>
        <w:t>НЕБЕЗПЕКА КОЛОДЯЗНОЇ ВОДИ ТА ПРОФІЛАКТИКА ВОДНО-НІТРАТНОЇ МЕТГЕМОГЛОБІНЕМІЇ</w:t>
      </w:r>
    </w:p>
    <w:p w14:paraId="78C977D3" w14:textId="7A063949" w:rsidR="009F6987" w:rsidRPr="0018280F" w:rsidRDefault="009F6987" w:rsidP="006E7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>
        <w:rPr>
          <w:noProof/>
          <w:color w:val="333333"/>
          <w:sz w:val="26"/>
          <w:szCs w:val="26"/>
          <w:lang w:val="ru-RU"/>
        </w:rPr>
        <w:drawing>
          <wp:inline distT="0" distB="0" distL="0" distR="0" wp14:anchorId="56628423" wp14:editId="34569E5E">
            <wp:extent cx="2621280" cy="1744980"/>
            <wp:effectExtent l="0" t="0" r="7620" b="7620"/>
            <wp:docPr id="1627033845" name="Рисунок 1" descr="Вода з колодязів – найкорисніша. Чи ні? Що відбувається із  нецентралізованими джерелами питної води в Україні – Руб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з колодязів – найкорисніша. Чи ні? Що відбувається із  нецентралізованими джерелами питної води в Україні – Рубр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81BB" w14:textId="77777777" w:rsidR="00F30BD9" w:rsidRPr="0018280F" w:rsidRDefault="00F30BD9" w:rsidP="00F30B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Водно-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нітратна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метгемоглобінемія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–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захворювання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що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викликає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значне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підвищення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вмісту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метгемоглобіну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крові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.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Воно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утворюється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внаслідок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токсичної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дії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нітратів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на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гемоглобін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і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призводить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до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кисневого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голодування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яке у свою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чергу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– до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порушень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у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роботі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печінки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нирок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серцево-судинної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нервової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систем.</w:t>
      </w:r>
    </w:p>
    <w:p w14:paraId="1457B7FB" w14:textId="77777777" w:rsidR="00F30BD9" w:rsidRPr="0018280F" w:rsidRDefault="00F30BD9" w:rsidP="00F30B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Водно-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нітратну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метгемоглобінемю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викликають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нітрати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що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містяться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у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природних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водах.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Самі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вони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малотоксичні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але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під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впливом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кишкової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мікрофлори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організму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людини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вони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відновлюються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у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більш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токсичні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нітрити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. Одним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із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основних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механізмів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їхньої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токсичної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дії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є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перетворення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гемоглобіну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метгемоглобін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.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</w:p>
    <w:p w14:paraId="0439D1E2" w14:textId="77777777" w:rsidR="00F30BD9" w:rsidRPr="0018280F" w:rsidRDefault="00F30BD9" w:rsidP="00F30B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Метгемоглобінемія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найчастіше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спостерігається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у людей,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які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проживають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у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сільській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місцевості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де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поширено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використання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води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із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децентралізованих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джерел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водопостачання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(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колодязі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неглибокі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індивідуальні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свердловини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).</w:t>
      </w:r>
    </w:p>
    <w:p w14:paraId="39357955" w14:textId="77777777" w:rsidR="00F30BD9" w:rsidRPr="0018280F" w:rsidRDefault="00F30BD9" w:rsidP="00F30B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Важливо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пам'ятати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що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особливу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небезпеку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вода,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забруднена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нітратами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становить для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дітей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першого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року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життя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.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Її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вживання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може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призвести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до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:  </w:t>
      </w:r>
    </w:p>
    <w:p w14:paraId="537C8E7D" w14:textId="77777777" w:rsidR="00F30BD9" w:rsidRPr="0018280F" w:rsidRDefault="00F30BD9" w:rsidP="00F30BD9">
      <w:pPr>
        <w:numPr>
          <w:ilvl w:val="0"/>
          <w:numId w:val="1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розвитку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шкідливої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мікрофлори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кишківнику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отруєння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;</w:t>
      </w:r>
    </w:p>
    <w:p w14:paraId="6C733EBA" w14:textId="77777777" w:rsidR="00F30BD9" w:rsidRPr="0018280F" w:rsidRDefault="00F30BD9" w:rsidP="00F30BD9">
      <w:pPr>
        <w:numPr>
          <w:ilvl w:val="0"/>
          <w:numId w:val="1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зменшення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кількості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вітамінів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як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наслідок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– </w:t>
      </w:r>
      <w:proofErr w:type="gram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до 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авітамінозу</w:t>
      </w:r>
      <w:proofErr w:type="spellEnd"/>
      <w:proofErr w:type="gram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погіршення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обміну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речовин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;</w:t>
      </w:r>
    </w:p>
    <w:p w14:paraId="1C3A664D" w14:textId="77777777" w:rsidR="00F30BD9" w:rsidRPr="0018280F" w:rsidRDefault="00F30BD9" w:rsidP="00F30BD9">
      <w:pPr>
        <w:numPr>
          <w:ilvl w:val="0"/>
          <w:numId w:val="1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зниження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організмі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концентрацію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йоду,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що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впливає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на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функціонування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щитоподібної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залози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;</w:t>
      </w:r>
    </w:p>
    <w:p w14:paraId="07734DDA" w14:textId="77777777" w:rsidR="00F30BD9" w:rsidRPr="0018280F" w:rsidRDefault="00F30BD9" w:rsidP="00F30BD9">
      <w:pPr>
        <w:numPr>
          <w:ilvl w:val="0"/>
          <w:numId w:val="1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розширення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судини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й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істотного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зниження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тиску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.</w:t>
      </w:r>
    </w:p>
    <w:p w14:paraId="52F7CE97" w14:textId="77777777" w:rsidR="0033107A" w:rsidRDefault="0033107A" w:rsidP="00F30B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</w:pPr>
    </w:p>
    <w:p w14:paraId="6D7E484F" w14:textId="1DDA18D8" w:rsidR="00F30BD9" w:rsidRPr="0018280F" w:rsidRDefault="00F30BD9" w:rsidP="00F30B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До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ознак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отруєння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нітратами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належать: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 </w:t>
      </w:r>
    </w:p>
    <w:p w14:paraId="20A8EDAC" w14:textId="77777777" w:rsidR="00F30BD9" w:rsidRPr="0018280F" w:rsidRDefault="00F30BD9" w:rsidP="00F30BD9">
      <w:pPr>
        <w:numPr>
          <w:ilvl w:val="0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діарея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нудота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блювання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; </w:t>
      </w:r>
    </w:p>
    <w:p w14:paraId="0BB2936A" w14:textId="77777777" w:rsidR="00F30BD9" w:rsidRPr="0018280F" w:rsidRDefault="00F30BD9" w:rsidP="00F30BD9">
      <w:pPr>
        <w:numPr>
          <w:ilvl w:val="0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задишка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тахікардія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ціаноз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; </w:t>
      </w:r>
    </w:p>
    <w:p w14:paraId="5CCDF843" w14:textId="77777777" w:rsidR="00F30BD9" w:rsidRPr="0018280F" w:rsidRDefault="00F30BD9" w:rsidP="00F30BD9">
      <w:pPr>
        <w:numPr>
          <w:ilvl w:val="0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lastRenderedPageBreak/>
        <w:t>різкі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болі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животі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пожовтіння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очей;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</w:p>
    <w:p w14:paraId="64BA095D" w14:textId="77777777" w:rsidR="00F30BD9" w:rsidRPr="0018280F" w:rsidRDefault="00F30BD9" w:rsidP="00F30BD9">
      <w:pPr>
        <w:numPr>
          <w:ilvl w:val="0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сонливість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втома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головний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біль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.</w:t>
      </w:r>
    </w:p>
    <w:p w14:paraId="50062B9F" w14:textId="77777777" w:rsidR="00F30BD9" w:rsidRPr="0018280F" w:rsidRDefault="00F30BD9" w:rsidP="00F30B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Для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профілактики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водно-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нітратної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метгемоглобінемії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рекомендуємо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:</w:t>
      </w:r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eastAsia="en-GB"/>
          <w14:ligatures w14:val="none"/>
        </w:rPr>
        <w:t> </w:t>
      </w:r>
    </w:p>
    <w:p w14:paraId="17C44FC0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використовувати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для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приготування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дитячого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харчування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страв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вживати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питну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воду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із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колодязів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і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каптажів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в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яких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вміст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нітратів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перевищує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нормативні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показники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(50 мг/л).</w:t>
      </w:r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 </w:t>
      </w:r>
    </w:p>
    <w:p w14:paraId="61343C2F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стежити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за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якістю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води,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призначеної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для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харчування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пиття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дітей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до 3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років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.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Якщо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ній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виникають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сумніви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використовувати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воду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пляшках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eastAsia="en-GB"/>
          <w14:ligatures w14:val="none"/>
        </w:rPr>
        <w:t>.  </w:t>
      </w:r>
    </w:p>
    <w:p w14:paraId="2BF5C333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дорослим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вживати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воду з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підземних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джерел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водопостачання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в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якій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вміст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нітратів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перевищує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допустимі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нормативи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– 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більше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50 мг/дм3; для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питття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вживати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тільки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доочищену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фасовану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столову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воду;</w:t>
      </w:r>
    </w:p>
    <w:p w14:paraId="0E4E3321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колодязі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менше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1 разу на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рік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необхідно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чистити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: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відкачувати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воду,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чистити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стінки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нальоту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а дно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осаду,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зайвих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речей, з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подальшою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дезінфекцією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.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Після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чого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воду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необхідно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знову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відкачати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і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користуватися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колодязем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уже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після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наступного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заповнення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проведення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лабораторного контролю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питної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води;</w:t>
      </w:r>
    </w:p>
    <w:p w14:paraId="690C23EC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територію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поблизу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колодязя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каптажу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джерела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бювету треба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утримувати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чистоті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організовувати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відведення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поверхневого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стоку;</w:t>
      </w:r>
    </w:p>
    <w:p w14:paraId="11CAF1A6" w14:textId="77777777" w:rsidR="00F30BD9" w:rsidRPr="0018280F" w:rsidRDefault="00F30BD9" w:rsidP="00F30BD9">
      <w:pPr>
        <w:numPr>
          <w:ilvl w:val="0"/>
          <w:numId w:val="3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у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радіусі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50 м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від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бюветів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колодязів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каптажів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джерел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не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дозволяється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мити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машини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влаштовувати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водопій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тварин,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влаштовувати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водоймища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для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водоплавної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птиці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розміщувати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пристрої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для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приготування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отрутохімікатів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іншу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діяльність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що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може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призвести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до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забруднення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>ґрунту</w:t>
      </w:r>
      <w:proofErr w:type="spellEnd"/>
      <w:r w:rsidRPr="0018280F">
        <w:rPr>
          <w:rFonts w:ascii="Times New Roman" w:eastAsia="Times New Roman" w:hAnsi="Times New Roman" w:cs="Times New Roman"/>
          <w:color w:val="717E85"/>
          <w:kern w:val="0"/>
          <w:sz w:val="26"/>
          <w:szCs w:val="26"/>
          <w:lang w:val="ru-RU" w:eastAsia="en-GB"/>
          <w14:ligatures w14:val="none"/>
        </w:rPr>
        <w:t xml:space="preserve"> та води.</w:t>
      </w:r>
    </w:p>
    <w:p w14:paraId="31A529C6" w14:textId="77777777" w:rsidR="00F30BD9" w:rsidRPr="0018280F" w:rsidRDefault="00F30BD9" w:rsidP="00F30B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Зверніть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увагу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!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Кип’ятіння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забрудненої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нітратами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води не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зменшує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збільшує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її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токсичність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.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Таку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рідину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можна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використовувати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лише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для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технічних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цілей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: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миття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посуду,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білизни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,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прибирання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приміщеннях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тощо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.</w:t>
      </w: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en-GB"/>
          <w14:ligatures w14:val="none"/>
        </w:rPr>
        <w:t> </w:t>
      </w:r>
    </w:p>
    <w:p w14:paraId="28405AD0" w14:textId="77777777" w:rsidR="00F30BD9" w:rsidRPr="0018280F" w:rsidRDefault="00F30BD9" w:rsidP="00F30B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З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обережністю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застосовуйте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в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сільському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власному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господарстві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мінеральні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та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органічні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добрива</w:t>
      </w:r>
      <w:proofErr w:type="spellEnd"/>
      <w:r w:rsidRPr="0018280F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  <w:t>;</w:t>
      </w:r>
    </w:p>
    <w:p w14:paraId="0D79176B" w14:textId="5F8C532A" w:rsidR="00774C6C" w:rsidRDefault="00F30BD9" w:rsidP="0003370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</w:pP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Якщо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виникли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ознака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інфекційних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захворювань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чи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отруєнь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терміново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звертайтесь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по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медичну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 xml:space="preserve"> </w:t>
      </w:r>
      <w:proofErr w:type="spellStart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допомогу</w:t>
      </w:r>
      <w:proofErr w:type="spellEnd"/>
      <w:r w:rsidRPr="0018280F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  <w:t>!</w:t>
      </w:r>
    </w:p>
    <w:p w14:paraId="3BE3BC97" w14:textId="77777777" w:rsidR="003A2731" w:rsidRDefault="003A2731" w:rsidP="0003370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</w:pPr>
    </w:p>
    <w:p w14:paraId="5D2F4972" w14:textId="77777777" w:rsidR="003A2731" w:rsidRDefault="003A2731" w:rsidP="0003370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:lang w:val="ru-RU" w:eastAsia="en-GB"/>
          <w14:ligatures w14:val="none"/>
        </w:rPr>
      </w:pPr>
    </w:p>
    <w:p w14:paraId="3382AB95" w14:textId="4007F33E" w:rsidR="003A2731" w:rsidRPr="003A2731" w:rsidRDefault="003A2731" w:rsidP="0003370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en-GB"/>
          <w14:ligatures w14:val="none"/>
        </w:rPr>
      </w:pPr>
    </w:p>
    <w:sectPr w:rsidR="003A2731" w:rsidRPr="003A2731" w:rsidSect="003A273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6FA1"/>
    <w:multiLevelType w:val="multilevel"/>
    <w:tmpl w:val="749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D7E84"/>
    <w:multiLevelType w:val="multilevel"/>
    <w:tmpl w:val="E49C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F3EC8"/>
    <w:multiLevelType w:val="multilevel"/>
    <w:tmpl w:val="9EBA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256440">
    <w:abstractNumId w:val="1"/>
  </w:num>
  <w:num w:numId="2" w16cid:durableId="388843831">
    <w:abstractNumId w:val="0"/>
  </w:num>
  <w:num w:numId="3" w16cid:durableId="209658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3"/>
    <w:rsid w:val="0003370C"/>
    <w:rsid w:val="0018280F"/>
    <w:rsid w:val="0033107A"/>
    <w:rsid w:val="003A2731"/>
    <w:rsid w:val="004B2566"/>
    <w:rsid w:val="006E71B4"/>
    <w:rsid w:val="00774C6C"/>
    <w:rsid w:val="00835A63"/>
    <w:rsid w:val="009F6987"/>
    <w:rsid w:val="00DD6CB4"/>
    <w:rsid w:val="00F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5AD8"/>
  <w15:chartTrackingRefBased/>
  <w15:docId w15:val="{58B6F650-85EA-48E8-8F20-B45A44ED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a3">
    <w:name w:val="Normal (Web)"/>
    <w:basedOn w:val="a"/>
    <w:uiPriority w:val="99"/>
    <w:semiHidden/>
    <w:unhideWhenUsed/>
    <w:rsid w:val="00F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4">
    <w:name w:val="Strong"/>
    <w:basedOn w:val="a0"/>
    <w:uiPriority w:val="22"/>
    <w:qFormat/>
    <w:rsid w:val="00F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Ларіса Мартиненко</dc:creator>
  <cp:keywords/>
  <dc:description/>
  <cp:lastModifiedBy>Ларіса Мартиненко</cp:lastModifiedBy>
  <cp:revision>10</cp:revision>
  <cp:lastPrinted>2023-10-06T13:45:00Z</cp:lastPrinted>
  <dcterms:created xsi:type="dcterms:W3CDTF">2023-07-03T11:44:00Z</dcterms:created>
  <dcterms:modified xsi:type="dcterms:W3CDTF">2025-02-11T14:34:00Z</dcterms:modified>
</cp:coreProperties>
</file>